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37F9BF">
      <w:pPr>
        <w:pStyle w:val="5"/>
        <w:keepNext w:val="0"/>
        <w:keepLines w:val="0"/>
        <w:pageBreakBefore w:val="0"/>
        <w:wordWrap/>
        <w:topLinePunct w:val="0"/>
        <w:bidi w:val="0"/>
        <w:spacing w:line="360" w:lineRule="auto"/>
        <w:jc w:val="center"/>
        <w:outlineLvl w:val="0"/>
        <w:rPr>
          <w:rFonts w:hint="eastAsia" w:ascii="宋体" w:hAnsi="宋体"/>
          <w:u w:val="none"/>
        </w:rPr>
      </w:pPr>
      <w:r>
        <w:rPr>
          <w:rFonts w:hint="eastAsia" w:ascii="宋体" w:hAnsi="宋体"/>
          <w:u w:val="none"/>
        </w:rPr>
        <w:t>原料出车间设备货物需求及技术标准</w:t>
      </w:r>
    </w:p>
    <w:p w14:paraId="1C9345B6">
      <w:pPr>
        <w:rPr>
          <w:rFonts w:hint="default" w:eastAsia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/>
          <w:b/>
          <w:bCs/>
          <w:sz w:val="24"/>
          <w:szCs w:val="24"/>
          <w:u w:val="none"/>
          <w:lang w:val="en-US" w:eastAsia="zh-CN"/>
        </w:rPr>
        <w:t>一、总体要求</w:t>
      </w:r>
    </w:p>
    <w:p w14:paraId="5E6F4E39">
      <w:pPr>
        <w:keepNext w:val="0"/>
        <w:keepLines w:val="0"/>
        <w:pageBreakBefore w:val="0"/>
        <w:wordWrap/>
        <w:topLinePunct w:val="0"/>
        <w:bidi w:val="0"/>
        <w:spacing w:line="360" w:lineRule="auto"/>
        <w:outlineLvl w:val="1"/>
        <w:rPr>
          <w:rFonts w:hint="default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  <w:t>1、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项目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  <w:t>概述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及要求</w:t>
      </w:r>
    </w:p>
    <w:p w14:paraId="6F3B54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both"/>
        <w:textAlignment w:val="auto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乌江涪陵榨菜绿色智能化生产基地（一期）1#车间原料出车间输送线，前端对接AGV出料，后端对接货车接料。范围包含三段输送线、及其控制系统,含设计、供货和安装调试。</w:t>
      </w:r>
    </w:p>
    <w:p w14:paraId="681A05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 xml:space="preserve">交货地点：重庆市涪陵区马鞍街道人和社区乌江涪陵榨菜绿色智能化生产基地（一期）1#车间。    </w:t>
      </w:r>
    </w:p>
    <w:p w14:paraId="5FD207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合同工期：合同签订后</w:t>
      </w:r>
      <w:r>
        <w:rPr>
          <w:rFonts w:hint="eastAsia"/>
          <w:sz w:val="21"/>
          <w:szCs w:val="21"/>
          <w:u w:val="single"/>
          <w:lang w:val="en-US" w:eastAsia="zh-CN"/>
        </w:rPr>
        <w:t>60</w:t>
      </w:r>
      <w:r>
        <w:rPr>
          <w:rFonts w:hint="eastAsia"/>
          <w:sz w:val="21"/>
          <w:szCs w:val="21"/>
          <w:lang w:val="en-US" w:eastAsia="zh-CN"/>
        </w:rPr>
        <w:t xml:space="preserve">日历天完成且验收合格并交付业主使用。 </w:t>
      </w:r>
    </w:p>
    <w:p w14:paraId="439DE3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质量保证期：所有设备至验收合格并交付业主使用时起</w:t>
      </w:r>
      <w:r>
        <w:rPr>
          <w:rFonts w:hint="eastAsia"/>
          <w:sz w:val="21"/>
          <w:szCs w:val="21"/>
          <w:u w:val="single"/>
          <w:lang w:val="en-US" w:eastAsia="zh-CN"/>
        </w:rPr>
        <w:t>24</w:t>
      </w:r>
      <w:r>
        <w:rPr>
          <w:rFonts w:hint="eastAsia"/>
          <w:sz w:val="21"/>
          <w:szCs w:val="21"/>
          <w:lang w:val="en-US" w:eastAsia="zh-CN"/>
        </w:rPr>
        <w:t>个月。</w:t>
      </w:r>
    </w:p>
    <w:p w14:paraId="0BBE4B44">
      <w:pPr>
        <w:pStyle w:val="2"/>
        <w:ind w:left="0" w:leftChars="0" w:firstLine="0" w:firstLineChars="0"/>
        <w:rPr>
          <w:rFonts w:hint="default"/>
          <w:lang w:val="en-US"/>
        </w:rPr>
      </w:pPr>
      <w:r>
        <w:rPr>
          <w:rFonts w:hint="eastAsia"/>
          <w:sz w:val="21"/>
          <w:szCs w:val="21"/>
          <w:lang w:val="en-US" w:eastAsia="zh-CN"/>
        </w:rPr>
        <w:t>最高限价：</w:t>
      </w:r>
      <w:r>
        <w:rPr>
          <w:rFonts w:hint="eastAsia"/>
          <w:sz w:val="21"/>
          <w:szCs w:val="21"/>
          <w:u w:val="single"/>
          <w:lang w:val="en-US" w:eastAsia="zh-CN"/>
        </w:rPr>
        <w:t>295000.00</w:t>
      </w:r>
      <w:r>
        <w:rPr>
          <w:rFonts w:hint="eastAsia"/>
          <w:sz w:val="21"/>
          <w:szCs w:val="21"/>
          <w:lang w:val="en-US" w:eastAsia="zh-CN"/>
        </w:rPr>
        <w:t>元（贰拾玖万伍仟元整）</w:t>
      </w:r>
    </w:p>
    <w:p w14:paraId="2D439F10">
      <w:pPr>
        <w:pStyle w:val="6"/>
        <w:spacing w:line="360" w:lineRule="auto"/>
        <w:rPr>
          <w:rFonts w:hint="eastAsia"/>
        </w:rPr>
      </w:pP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2、主要工作内容及实施范围</w:t>
      </w:r>
    </w:p>
    <w:p w14:paraId="1B95ABCE">
      <w:pPr>
        <w:pStyle w:val="6"/>
        <w:spacing w:line="360" w:lineRule="auto"/>
        <w:ind w:firstLine="420"/>
        <w:rPr>
          <w:rFonts w:hint="default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（1）为满足绿色智能化基地1#车间原料出厂需求，根据工艺、生产能力，现需购置壹套</w:t>
      </w:r>
      <w:r>
        <w:rPr>
          <w:rFonts w:hint="eastAsia"/>
          <w:sz w:val="21"/>
          <w:szCs w:val="21"/>
          <w:lang w:val="en-US" w:eastAsia="zh-CN"/>
        </w:rPr>
        <w:t>原料出车间设备及其辅助设施，</w:t>
      </w:r>
      <w:r>
        <w:rPr>
          <w:rFonts w:hint="default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  <w:t>包括但不限于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A（皮带输送机）、B（链板输送机）、C（带挡板链板输送机）等原料输送系统，电机和减速器传动及控制系统。</w:t>
      </w:r>
    </w:p>
    <w:p w14:paraId="5EE91A07">
      <w:pPr>
        <w:keepNext w:val="0"/>
        <w:keepLines w:val="0"/>
        <w:pageBreakBefore w:val="0"/>
        <w:widowControl w:val="0"/>
        <w:tabs>
          <w:tab w:val="left" w:pos="3840"/>
          <w:tab w:val="left" w:pos="530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/>
          <w:snapToGrid w:val="0"/>
          <w:color w:val="auto"/>
          <w:kern w:val="0"/>
          <w:sz w:val="21"/>
          <w:szCs w:val="21"/>
          <w:highlight w:val="none"/>
          <w:u w:val="none"/>
          <w:lang w:val="en-US" w:eastAsia="zh-CN"/>
        </w:rPr>
      </w:pP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eastAsia="zh-CN"/>
        </w:rPr>
        <w:t>（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2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eastAsia="zh-CN"/>
        </w:rPr>
        <w:t>）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包括但不限于</w:t>
      </w:r>
      <w:r>
        <w:rPr>
          <w:rFonts w:hint="default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  <w:t>该工程的采购、运输、保险、安装、调试、检测（包含强制的和招标人要求的）</w:t>
      </w:r>
      <w:r>
        <w:rPr>
          <w:rFonts w:hint="default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eastAsia="zh-CN"/>
        </w:rPr>
        <w:t>、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验收、</w:t>
      </w:r>
      <w:r>
        <w:rPr>
          <w:rFonts w:hint="default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zh-CN"/>
        </w:rPr>
        <w:t>技术服务和质量保证</w:t>
      </w:r>
      <w:r>
        <w:rPr>
          <w:rFonts w:hint="default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  <w:t>等方面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eastAsia="zh-CN"/>
        </w:rPr>
        <w:t>，</w:t>
      </w:r>
      <w:r>
        <w:rPr>
          <w:rFonts w:hint="eastAsia" w:ascii="宋体" w:hAnsi="宋体"/>
          <w:snapToGrid w:val="0"/>
          <w:color w:val="auto"/>
          <w:kern w:val="0"/>
          <w:sz w:val="21"/>
          <w:szCs w:val="21"/>
          <w:highlight w:val="none"/>
          <w:u w:val="none"/>
          <w:lang w:val="en-US" w:eastAsia="zh-CN"/>
        </w:rPr>
        <w:t>并提供相关图纸（至少包括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u w:val="none"/>
        </w:rPr>
        <w:t>工艺设备安装施工图、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u w:val="none"/>
          <w:lang w:val="en-US" w:eastAsia="zh-CN"/>
        </w:rPr>
        <w:t>设备单体图、接线表、</w:t>
      </w:r>
      <w:r>
        <w:rPr>
          <w:rFonts w:hint="eastAsia" w:ascii="宋体" w:hAnsi="宋体"/>
          <w:snapToGrid w:val="0"/>
          <w:color w:val="auto"/>
          <w:kern w:val="0"/>
          <w:sz w:val="21"/>
          <w:szCs w:val="21"/>
          <w:highlight w:val="none"/>
          <w:u w:val="none"/>
        </w:rPr>
        <w:t>人员培训、设备试运行、设备性能测试</w:t>
      </w:r>
      <w:r>
        <w:rPr>
          <w:rFonts w:hint="eastAsia" w:ascii="宋体" w:hAnsi="宋体"/>
          <w:snapToGrid w:val="0"/>
          <w:color w:val="auto"/>
          <w:kern w:val="0"/>
          <w:sz w:val="21"/>
          <w:szCs w:val="21"/>
          <w:highlight w:val="none"/>
          <w:u w:val="none"/>
          <w:lang w:eastAsia="zh-CN"/>
        </w:rPr>
        <w:t>、</w:t>
      </w:r>
      <w:r>
        <w:rPr>
          <w:rFonts w:hint="eastAsia" w:ascii="宋体" w:hAnsi="宋体"/>
          <w:snapToGrid w:val="0"/>
          <w:color w:val="auto"/>
          <w:kern w:val="0"/>
          <w:sz w:val="21"/>
          <w:szCs w:val="21"/>
          <w:highlight w:val="none"/>
          <w:u w:val="none"/>
        </w:rPr>
        <w:t>设备验收、设备移交</w:t>
      </w:r>
      <w:r>
        <w:rPr>
          <w:rFonts w:hint="eastAsia" w:ascii="宋体" w:hAnsi="宋体"/>
          <w:snapToGrid w:val="0"/>
          <w:color w:val="auto"/>
          <w:kern w:val="0"/>
          <w:sz w:val="21"/>
          <w:szCs w:val="21"/>
          <w:highlight w:val="none"/>
          <w:u w:val="none"/>
          <w:lang w:eastAsia="zh-CN"/>
        </w:rPr>
        <w:t>、</w:t>
      </w:r>
      <w:r>
        <w:rPr>
          <w:rFonts w:hint="eastAsia" w:ascii="宋体" w:hAnsi="宋体"/>
          <w:snapToGrid w:val="0"/>
          <w:color w:val="auto"/>
          <w:kern w:val="0"/>
          <w:sz w:val="21"/>
          <w:szCs w:val="21"/>
          <w:highlight w:val="none"/>
          <w:u w:val="none"/>
          <w:lang w:val="en-US" w:eastAsia="zh-CN"/>
        </w:rPr>
        <w:t>设备资料移交</w:t>
      </w:r>
      <w:r>
        <w:rPr>
          <w:rFonts w:hint="eastAsia" w:ascii="宋体" w:hAnsi="宋体"/>
          <w:snapToGrid w:val="0"/>
          <w:color w:val="auto"/>
          <w:kern w:val="0"/>
          <w:sz w:val="21"/>
          <w:szCs w:val="21"/>
          <w:highlight w:val="none"/>
          <w:u w:val="none"/>
        </w:rPr>
        <w:t>和售后服务</w:t>
      </w:r>
      <w:r>
        <w:rPr>
          <w:rFonts w:hint="eastAsia" w:ascii="宋体" w:hAnsi="宋体"/>
          <w:snapToGrid w:val="0"/>
          <w:color w:val="auto"/>
          <w:kern w:val="0"/>
          <w:sz w:val="21"/>
          <w:szCs w:val="21"/>
          <w:highlight w:val="none"/>
          <w:u w:val="none"/>
          <w:lang w:val="en-US" w:eastAsia="zh-CN"/>
        </w:rPr>
        <w:t>等事项</w:t>
      </w:r>
      <w:r>
        <w:rPr>
          <w:rFonts w:hint="eastAsia" w:ascii="宋体" w:hAnsi="宋体"/>
          <w:snapToGrid w:val="0"/>
          <w:color w:val="auto"/>
          <w:kern w:val="0"/>
          <w:sz w:val="21"/>
          <w:szCs w:val="21"/>
          <w:highlight w:val="none"/>
          <w:u w:val="none"/>
        </w:rPr>
        <w:t>。</w:t>
      </w:r>
    </w:p>
    <w:p w14:paraId="5DABBE62">
      <w:pPr>
        <w:pageBreakBefore w:val="0"/>
        <w:tabs>
          <w:tab w:val="left" w:pos="1620"/>
        </w:tabs>
        <w:kinsoku/>
        <w:wordWrap/>
        <w:overflowPunct/>
        <w:topLinePunct w:val="0"/>
        <w:bidi w:val="0"/>
        <w:adjustRightInd w:val="0"/>
        <w:snapToGrid w:val="0"/>
        <w:spacing w:line="360" w:lineRule="auto"/>
        <w:ind w:firstLine="420" w:firstLineChars="200"/>
        <w:jc w:val="left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u w:val="none"/>
        </w:rPr>
      </w:pPr>
      <w:r>
        <w:rPr>
          <w:rFonts w:hint="eastAsia" w:ascii="宋体" w:hAnsi="宋体" w:cs="宋体"/>
          <w:caps w:val="0"/>
          <w:smallCaps w:val="0"/>
          <w:snapToGrid w:val="0"/>
          <w:color w:val="auto"/>
          <w:sz w:val="21"/>
          <w:szCs w:val="21"/>
          <w:highlight w:val="none"/>
          <w:u w:val="none"/>
          <w:lang w:eastAsia="zh-CN"/>
        </w:rPr>
        <w:t>（</w:t>
      </w:r>
      <w:r>
        <w:rPr>
          <w:rFonts w:hint="eastAsia" w:ascii="宋体" w:hAnsi="宋体" w:cs="宋体"/>
          <w:caps w:val="0"/>
          <w:smallCaps w:val="0"/>
          <w:snapToGrid w:val="0"/>
          <w:color w:val="auto"/>
          <w:sz w:val="21"/>
          <w:szCs w:val="21"/>
          <w:highlight w:val="none"/>
          <w:u w:val="none"/>
          <w:lang w:val="en-US" w:eastAsia="zh-CN"/>
        </w:rPr>
        <w:t>4）</w:t>
      </w:r>
      <w:r>
        <w:rPr>
          <w:rFonts w:hint="eastAsia" w:ascii="宋体" w:hAnsi="宋体" w:eastAsia="宋体" w:cs="宋体"/>
          <w:caps w:val="0"/>
          <w:smallCaps w:val="0"/>
          <w:snapToGrid w:val="0"/>
          <w:color w:val="auto"/>
          <w:sz w:val="21"/>
          <w:szCs w:val="21"/>
          <w:highlight w:val="none"/>
        </w:rPr>
        <w:t>投标人应对以上全部招标内容进行投标</w:t>
      </w:r>
      <w:r>
        <w:rPr>
          <w:rFonts w:hint="eastAsia" w:ascii="宋体" w:hAnsi="宋体" w:eastAsia="宋体" w:cs="宋体"/>
          <w:caps w:val="0"/>
          <w:smallCaps w:val="0"/>
          <w:snapToGrid w:val="0"/>
          <w:color w:val="auto"/>
          <w:sz w:val="21"/>
          <w:szCs w:val="21"/>
          <w:highlight w:val="none"/>
          <w:lang w:eastAsia="zh-CN"/>
        </w:rPr>
        <w:t>；</w:t>
      </w:r>
      <w:r>
        <w:rPr>
          <w:rFonts w:hint="eastAsia" w:ascii="宋体" w:hAnsi="宋体" w:eastAsia="宋体" w:cs="宋体"/>
          <w:caps w:val="0"/>
          <w:smallCaps w:val="0"/>
          <w:snapToGrid w:val="0"/>
          <w:color w:val="auto"/>
          <w:sz w:val="21"/>
          <w:szCs w:val="21"/>
          <w:highlight w:val="none"/>
          <w:lang w:val="en-US" w:eastAsia="zh-CN"/>
        </w:rPr>
        <w:t>投标人</w:t>
      </w:r>
      <w:r>
        <w:rPr>
          <w:rFonts w:hint="eastAsia" w:ascii="宋体" w:hAnsi="宋体" w:cs="宋体"/>
          <w:caps w:val="0"/>
          <w:smallCaps w:val="0"/>
          <w:snapToGrid w:val="0"/>
          <w:color w:val="auto"/>
          <w:sz w:val="21"/>
          <w:szCs w:val="21"/>
          <w:highlight w:val="none"/>
          <w:lang w:val="en-US" w:eastAsia="zh-CN"/>
        </w:rPr>
        <w:t>可</w:t>
      </w:r>
      <w:r>
        <w:rPr>
          <w:rFonts w:hint="eastAsia" w:ascii="宋体" w:hAnsi="宋体" w:eastAsia="宋体" w:cs="宋体"/>
          <w:caps w:val="0"/>
          <w:smallCaps w:val="0"/>
          <w:snapToGrid w:val="0"/>
          <w:color w:val="auto"/>
          <w:sz w:val="21"/>
          <w:szCs w:val="21"/>
          <w:highlight w:val="none"/>
          <w:lang w:val="en-US" w:eastAsia="zh-CN"/>
        </w:rPr>
        <w:t>结合技术要求及图纸进行相互补充，保证所供货的设备种类、数量、质量及工作任务能够满足</w:t>
      </w:r>
      <w:r>
        <w:rPr>
          <w:rFonts w:hint="eastAsia" w:ascii="宋体" w:hAnsi="宋体" w:cs="宋体"/>
          <w:caps w:val="0"/>
          <w:smallCaps w:val="0"/>
          <w:snapToGrid w:val="0"/>
          <w:color w:val="auto"/>
          <w:sz w:val="21"/>
          <w:szCs w:val="21"/>
          <w:highlight w:val="none"/>
          <w:lang w:val="en-US" w:eastAsia="zh-CN"/>
        </w:rPr>
        <w:t>输送机</w:t>
      </w:r>
      <w:r>
        <w:rPr>
          <w:rFonts w:hint="eastAsia" w:ascii="宋体" w:hAnsi="宋体" w:eastAsia="宋体" w:cs="宋体"/>
          <w:caps w:val="0"/>
          <w:smallCaps w:val="0"/>
          <w:snapToGrid w:val="0"/>
          <w:color w:val="auto"/>
          <w:sz w:val="21"/>
          <w:szCs w:val="21"/>
          <w:highlight w:val="none"/>
          <w:lang w:val="en-US" w:eastAsia="zh-CN"/>
        </w:rPr>
        <w:t>及辅助设备的正常稳定安全运行要求</w:t>
      </w:r>
      <w:r>
        <w:rPr>
          <w:rFonts w:hint="eastAsia" w:ascii="宋体" w:hAnsi="宋体" w:eastAsia="宋体" w:cs="宋体"/>
          <w:caps w:val="0"/>
          <w:smallCaps w:val="0"/>
          <w:snapToGrid w:val="0"/>
          <w:color w:val="auto"/>
          <w:sz w:val="21"/>
          <w:szCs w:val="21"/>
          <w:highlight w:val="none"/>
        </w:rPr>
        <w:t>。</w:t>
      </w:r>
      <w:r>
        <w:rPr>
          <w:rFonts w:hint="eastAsia" w:ascii="宋体" w:hAnsi="宋体" w:cs="宋体"/>
          <w:caps w:val="0"/>
          <w:smallCaps w:val="0"/>
          <w:snapToGrid w:val="0"/>
          <w:color w:val="auto"/>
          <w:sz w:val="21"/>
          <w:szCs w:val="21"/>
          <w:highlight w:val="none"/>
          <w:u w:val="none"/>
          <w:lang w:val="en-US" w:eastAsia="zh-CN"/>
        </w:rPr>
        <w:t>且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u w:val="none"/>
          <w:lang w:val="en-US" w:eastAsia="zh-CN"/>
        </w:rPr>
        <w:t>本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u w:val="none"/>
        </w:rPr>
        <w:t>章未注明由招标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u w:val="none"/>
          <w:lang w:val="en-US" w:eastAsia="zh-CN"/>
        </w:rPr>
        <w:t>人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u w:val="none"/>
        </w:rPr>
        <w:t>负责的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u w:val="none"/>
          <w:lang w:val="en-US" w:eastAsia="zh-CN"/>
        </w:rPr>
        <w:t>但</w:t>
      </w:r>
      <w:r>
        <w:rPr>
          <w:rFonts w:hint="eastAsia" w:ascii="宋体" w:hAnsi="宋体"/>
          <w:snapToGrid w:val="0"/>
          <w:color w:val="auto"/>
          <w:kern w:val="0"/>
          <w:sz w:val="21"/>
          <w:szCs w:val="21"/>
          <w:highlight w:val="none"/>
          <w:u w:val="none"/>
          <w:lang w:val="en-US" w:eastAsia="zh-CN"/>
        </w:rPr>
        <w:t>原料出车间系统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u w:val="none"/>
          <w:lang w:val="en-US" w:eastAsia="zh-CN"/>
        </w:rPr>
        <w:t>运行不可缺的设备和功能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u w:val="none"/>
        </w:rPr>
        <w:t>均属于投标</w:t>
      </w: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u w:val="none"/>
          <w:lang w:val="en-US" w:eastAsia="zh-CN"/>
        </w:rPr>
        <w:t>人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u w:val="none"/>
        </w:rPr>
        <w:t>供货施工范围。</w:t>
      </w:r>
    </w:p>
    <w:p w14:paraId="03DE5770">
      <w:pPr>
        <w:numPr>
          <w:ilvl w:val="0"/>
          <w:numId w:val="0"/>
        </w:numPr>
        <w:spacing w:line="360" w:lineRule="auto"/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u w:val="none"/>
          <w:lang w:val="en-US" w:eastAsia="zh-CN"/>
        </w:rPr>
      </w:pP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u w:val="none"/>
          <w:lang w:val="en-US" w:eastAsia="zh-CN"/>
        </w:rPr>
        <w:t>3、适用标准</w:t>
      </w:r>
    </w:p>
    <w:p w14:paraId="0830BEE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当相关标准出现新版本时、以最新现行标准为准；如果国际规范与中国规范发生冲突，要遵守所有法定的中国政府颁布的规范。本工程系统及设备设计、制造、施工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  <w:t>使用到的规范、标准包括但不限于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：</w:t>
      </w:r>
    </w:p>
    <w:p w14:paraId="581F470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《食品安全国家标准食品生产通用卫生规范》     GB 14881-2013</w:t>
      </w:r>
    </w:p>
    <w:p w14:paraId="20AD432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 xml:space="preserve">《食品机械安全要求》                         GB 16798-2023 </w:t>
      </w:r>
    </w:p>
    <w:p w14:paraId="113849F3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 xml:space="preserve">《不锈钢 牌号及化学成分》                   GBT 20878-2024 </w:t>
      </w:r>
    </w:p>
    <w:p w14:paraId="1780D98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 xml:space="preserve">《食品安全国家标准食品接触材料及制品通用安全要求》  </w:t>
      </w:r>
    </w:p>
    <w:p w14:paraId="462CCD33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jc w:val="center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 xml:space="preserve">                          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GB 4806.1-2016</w:t>
      </w:r>
    </w:p>
    <w:p w14:paraId="18E7F3A1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《食品安全国家标准食品接触用塑料树脂》      GB 4806.6-2016</w:t>
      </w:r>
    </w:p>
    <w:p w14:paraId="476485F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《食品安全国家标准食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  <w:t>品接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触用塑料材料及制品》 GB 4806.7-2023 </w:t>
      </w:r>
    </w:p>
    <w:p w14:paraId="1ED1E4F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《食品安全国家标准食品接触用金属材料及制品》GB 4806.9-2023</w:t>
      </w:r>
    </w:p>
    <w:p w14:paraId="30E8193E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《食品安全国家标准食品接触用涂料及涂层》   GB 4806.10-2016  </w:t>
      </w:r>
    </w:p>
    <w:p w14:paraId="53790F0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《食品安全国家标准食品接触用橡胶材料及制品》</w:t>
      </w:r>
    </w:p>
    <w:p w14:paraId="7726646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5040" w:firstLineChars="24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GB 4806.11-2023  </w:t>
      </w:r>
    </w:p>
    <w:p w14:paraId="06AECC7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《紧固件机械性能 螺栓、螺钉和螺柱》         GB /T 3098.1 - 2010</w:t>
      </w:r>
    </w:p>
    <w:p w14:paraId="7AEC504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《紧固件机械性能 螺母 粗牙螺纹》          GB /T 3098.2 - 2015</w:t>
      </w:r>
    </w:p>
    <w:p w14:paraId="27199D7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《紧固件机械性能 螺母 细牙螺纹》          GB /T 3098.4 - 2000</w:t>
      </w:r>
    </w:p>
    <w:p w14:paraId="0E8EB4B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《紧固件机械性能 自攻螺钉》               GB /T 3098.5 - 2016</w:t>
      </w:r>
    </w:p>
    <w:p w14:paraId="0E92861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《紧固件机械性能 不锈钢螺栓、螺钉和螺柱》 GB/T 3098.6 - 2023</w:t>
      </w:r>
    </w:p>
    <w:p w14:paraId="66A188C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《紧固件机械性能 不锈钢螺母》             GB /T 3098.15 - 2023</w:t>
      </w:r>
    </w:p>
    <w:p w14:paraId="05DF714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《紧固件机械性能 不锈钢自攻螺钉》        GB /T 3098.21 - 2014</w:t>
      </w:r>
    </w:p>
    <w:p w14:paraId="4E8EFF05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《节能耐腐蚀钢制电缆桥架》                  GB/T 23639-2017</w:t>
      </w:r>
    </w:p>
    <w:p w14:paraId="6596AAD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《冷轧钢板和钢带的尺寸、外形、重量及允许偏差》GB/T 708-2019</w:t>
      </w:r>
    </w:p>
    <w:p w14:paraId="4250814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《热轧钢板和钢带的尺寸、外形、重量及允许偏差》GB/T 709-2019</w:t>
      </w:r>
    </w:p>
    <w:p w14:paraId="574BFD45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《钢结构设计标准》                            GB 50017-2017</w:t>
      </w:r>
    </w:p>
    <w:p w14:paraId="0E621DF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《不锈钢焊条》                                GB/T 983-2012</w:t>
      </w:r>
    </w:p>
    <w:p w14:paraId="1C2A96C7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《焊接用不锈钢丝》                           YB/T 5092-2016</w:t>
      </w:r>
    </w:p>
    <w:p w14:paraId="12B5DB2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《气体保护电弧焊用热强钢实心焊丝》           GB/T 39279-2020 </w:t>
      </w:r>
    </w:p>
    <w:p w14:paraId="74BAB4AA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《不锈钢药芯焊丝》                          GB/T 17853-2018</w:t>
      </w:r>
    </w:p>
    <w:p w14:paraId="7EE22F9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《氩》                                       GB/T 4842-2017</w:t>
      </w:r>
    </w:p>
    <w:p w14:paraId="4B40FB6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《旋转电机整体结构的防护等级（IP代码） 分级》 GB/T 4942-2021</w:t>
      </w:r>
    </w:p>
    <w:p w14:paraId="09FF7FB2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《标准电流等级》                               GB/T 762-2002</w:t>
      </w:r>
    </w:p>
    <w:p w14:paraId="19772A17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《低压成套开关设备和电控设备基本试验方法》   GB/T 10233-2016</w:t>
      </w:r>
    </w:p>
    <w:p w14:paraId="12F3F56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《外壳防护等级（IP代码）》                    GB/T 4208-2017</w:t>
      </w:r>
    </w:p>
    <w:p w14:paraId="6B57EA83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《固定式钢梯及平台安全要求第1部分钢直梯》   GB 4053.1-2009</w:t>
      </w:r>
    </w:p>
    <w:p w14:paraId="48F288A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《固定式钢梯及平台安全要求第2部分钢斜梯》   GB 4053.2-2009</w:t>
      </w:r>
    </w:p>
    <w:p w14:paraId="2930D201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《固定式钢梯及平台安全要求第3部分工业防护栏杆及钢平台》</w:t>
      </w:r>
    </w:p>
    <w:p w14:paraId="12A11F7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GB 4053.3-2009</w:t>
      </w:r>
    </w:p>
    <w:p w14:paraId="5611400E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《高压三相笼型异步电动机能效限定值及能效等级》GB 30254-2013</w:t>
      </w:r>
    </w:p>
    <w:p w14:paraId="3710E775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360" w:lineRule="auto"/>
        <w:ind w:firstLine="420" w:firstLineChars="200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《电动机能效限定值及能效等级》                GB 18613-2020</w:t>
      </w:r>
    </w:p>
    <w:p w14:paraId="3C3FC6F0">
      <w:pPr>
        <w:spacing w:line="360" w:lineRule="auto"/>
        <w:rPr>
          <w:rFonts w:hint="eastAsia" w:ascii="宋体" w:hAnsi="宋体" w:cs="宋体"/>
          <w:b/>
          <w:bCs/>
          <w:caps w:val="0"/>
          <w:smallCaps w:val="0"/>
          <w:color w:val="auto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cs="宋体"/>
          <w:b/>
          <w:bCs/>
          <w:caps w:val="0"/>
          <w:smallCaps w:val="0"/>
          <w:color w:val="auto"/>
          <w:sz w:val="24"/>
          <w:szCs w:val="24"/>
          <w:highlight w:val="none"/>
          <w:u w:val="none"/>
          <w:lang w:val="en-US" w:eastAsia="zh-CN"/>
        </w:rPr>
        <w:t>二、设备需求一览表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2409"/>
        <w:gridCol w:w="936"/>
        <w:gridCol w:w="1020"/>
        <w:gridCol w:w="3158"/>
      </w:tblGrid>
      <w:tr w14:paraId="1E33E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  <w:noWrap w:val="0"/>
            <w:vAlign w:val="center"/>
          </w:tcPr>
          <w:p w14:paraId="202E4A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</w:rPr>
              <w:t>序号</w:t>
            </w:r>
          </w:p>
        </w:tc>
        <w:tc>
          <w:tcPr>
            <w:tcW w:w="2409" w:type="dxa"/>
            <w:noWrap w:val="0"/>
            <w:vAlign w:val="center"/>
          </w:tcPr>
          <w:p w14:paraId="020401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</w:rPr>
              <w:t>名称型号规格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</w:t>
            </w:r>
          </w:p>
        </w:tc>
        <w:tc>
          <w:tcPr>
            <w:tcW w:w="936" w:type="dxa"/>
            <w:noWrap w:val="0"/>
            <w:vAlign w:val="center"/>
          </w:tcPr>
          <w:p w14:paraId="315FFE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</w:rPr>
              <w:t>单位</w:t>
            </w:r>
          </w:p>
        </w:tc>
        <w:tc>
          <w:tcPr>
            <w:tcW w:w="1020" w:type="dxa"/>
            <w:noWrap w:val="0"/>
            <w:vAlign w:val="center"/>
          </w:tcPr>
          <w:p w14:paraId="37E715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</w:rPr>
              <w:t>数量</w:t>
            </w:r>
          </w:p>
        </w:tc>
        <w:tc>
          <w:tcPr>
            <w:tcW w:w="3158" w:type="dxa"/>
            <w:noWrap w:val="0"/>
            <w:vAlign w:val="center"/>
          </w:tcPr>
          <w:p w14:paraId="7CBC26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主要技术要求</w:t>
            </w:r>
          </w:p>
        </w:tc>
      </w:tr>
      <w:tr w14:paraId="655F7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  <w:noWrap w:val="0"/>
            <w:vAlign w:val="center"/>
          </w:tcPr>
          <w:p w14:paraId="2B4DE5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</w:rPr>
              <w:t>1</w:t>
            </w:r>
          </w:p>
        </w:tc>
        <w:tc>
          <w:tcPr>
            <w:tcW w:w="2409" w:type="dxa"/>
            <w:noWrap w:val="0"/>
            <w:vAlign w:val="center"/>
          </w:tcPr>
          <w:p w14:paraId="035B07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u w:val="none"/>
                <w:lang w:val="en-US" w:eastAsia="zh-CN"/>
              </w:rPr>
              <w:t>A输送带</w:t>
            </w:r>
          </w:p>
        </w:tc>
        <w:tc>
          <w:tcPr>
            <w:tcW w:w="936" w:type="dxa"/>
            <w:noWrap w:val="0"/>
            <w:vAlign w:val="center"/>
          </w:tcPr>
          <w:p w14:paraId="0B8148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套</w:t>
            </w:r>
          </w:p>
        </w:tc>
        <w:tc>
          <w:tcPr>
            <w:tcW w:w="1020" w:type="dxa"/>
            <w:noWrap w:val="0"/>
            <w:vAlign w:val="center"/>
          </w:tcPr>
          <w:p w14:paraId="42EA45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3158" w:type="dxa"/>
            <w:noWrap w:val="0"/>
            <w:vAlign w:val="center"/>
          </w:tcPr>
          <w:p w14:paraId="3B9371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u w:val="none"/>
                <w:lang w:val="en-US" w:eastAsia="zh-CN"/>
              </w:rPr>
              <w:t>皮带输送，皮带采用PU材质，皮带厚度不低于5mm，其他结构件采用304材质，轴承和轴承座采用不锈钢材质，不锈钢滚筒与皮带匹配并包胶处理。</w:t>
            </w:r>
          </w:p>
        </w:tc>
      </w:tr>
      <w:tr w14:paraId="164976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  <w:noWrap w:val="0"/>
            <w:vAlign w:val="center"/>
          </w:tcPr>
          <w:p w14:paraId="33A76C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</w:rPr>
              <w:t>2</w:t>
            </w:r>
          </w:p>
        </w:tc>
        <w:tc>
          <w:tcPr>
            <w:tcW w:w="2409" w:type="dxa"/>
            <w:noWrap w:val="0"/>
            <w:vAlign w:val="center"/>
          </w:tcPr>
          <w:p w14:paraId="2265D4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u w:val="none"/>
                <w:lang w:val="en-US" w:eastAsia="zh-CN"/>
              </w:rPr>
              <w:t>B输送线</w:t>
            </w:r>
          </w:p>
        </w:tc>
        <w:tc>
          <w:tcPr>
            <w:tcW w:w="936" w:type="dxa"/>
            <w:noWrap w:val="0"/>
            <w:vAlign w:val="center"/>
          </w:tcPr>
          <w:p w14:paraId="4B90E8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套</w:t>
            </w:r>
          </w:p>
        </w:tc>
        <w:tc>
          <w:tcPr>
            <w:tcW w:w="1020" w:type="dxa"/>
            <w:noWrap w:val="0"/>
            <w:vAlign w:val="center"/>
          </w:tcPr>
          <w:p w14:paraId="74FD9F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</w:t>
            </w:r>
          </w:p>
        </w:tc>
        <w:tc>
          <w:tcPr>
            <w:tcW w:w="3158" w:type="dxa"/>
            <w:noWrap w:val="0"/>
            <w:vAlign w:val="center"/>
          </w:tcPr>
          <w:p w14:paraId="578835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u w:val="none"/>
                <w:lang w:val="en-US" w:eastAsia="zh-CN"/>
              </w:rPr>
              <w:t>链板输送，316L材质，链板厚度不低于2mm，其他结构件采用304材质，轴承和轴承座采用不锈钢材质，链条采用316L不锈钢材质。</w:t>
            </w:r>
          </w:p>
        </w:tc>
      </w:tr>
      <w:tr w14:paraId="7FB90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  <w:noWrap w:val="0"/>
            <w:vAlign w:val="center"/>
          </w:tcPr>
          <w:p w14:paraId="7FC1D4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</w:rPr>
              <w:t>3</w:t>
            </w:r>
          </w:p>
        </w:tc>
        <w:tc>
          <w:tcPr>
            <w:tcW w:w="2409" w:type="dxa"/>
            <w:noWrap w:val="0"/>
            <w:vAlign w:val="center"/>
          </w:tcPr>
          <w:p w14:paraId="543AF6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u w:val="none"/>
                <w:lang w:val="en-US" w:eastAsia="zh-CN"/>
              </w:rPr>
              <w:t>C输送线</w:t>
            </w:r>
          </w:p>
        </w:tc>
        <w:tc>
          <w:tcPr>
            <w:tcW w:w="936" w:type="dxa"/>
            <w:noWrap w:val="0"/>
            <w:vAlign w:val="center"/>
          </w:tcPr>
          <w:p w14:paraId="078E1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套</w:t>
            </w:r>
          </w:p>
        </w:tc>
        <w:tc>
          <w:tcPr>
            <w:tcW w:w="1020" w:type="dxa"/>
            <w:noWrap w:val="0"/>
            <w:vAlign w:val="center"/>
          </w:tcPr>
          <w:p w14:paraId="6C6579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3158" w:type="dxa"/>
            <w:noWrap w:val="0"/>
            <w:vAlign w:val="center"/>
          </w:tcPr>
          <w:p w14:paraId="0DF81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u w:val="none"/>
                <w:lang w:val="en-US" w:eastAsia="zh-CN"/>
              </w:rPr>
              <w:t>链板输送，链板和挡板采用316L材质，链板厚度不低于2mm，其他结构件采用304材质，轴承和轴承座采用不锈钢材质，链条采用316L不锈钢材质。</w:t>
            </w:r>
          </w:p>
        </w:tc>
      </w:tr>
      <w:tr w14:paraId="65D701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  <w:shd w:val="clear" w:color="auto" w:fill="auto"/>
            <w:noWrap w:val="0"/>
            <w:vAlign w:val="top"/>
          </w:tcPr>
          <w:p w14:paraId="1DCCA7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4</w:t>
            </w:r>
          </w:p>
        </w:tc>
        <w:tc>
          <w:tcPr>
            <w:tcW w:w="2409" w:type="dxa"/>
            <w:noWrap w:val="0"/>
            <w:vAlign w:val="top"/>
          </w:tcPr>
          <w:p w14:paraId="162298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cs="Times New Roman"/>
                <w:color w:val="auto"/>
                <w:szCs w:val="28"/>
                <w:lang w:val="en-US" w:eastAsia="zh-CN"/>
              </w:rPr>
              <w:t>控制柜</w:t>
            </w:r>
          </w:p>
        </w:tc>
        <w:tc>
          <w:tcPr>
            <w:tcW w:w="936" w:type="dxa"/>
            <w:noWrap w:val="0"/>
            <w:vAlign w:val="top"/>
          </w:tcPr>
          <w:p w14:paraId="14E36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套</w:t>
            </w:r>
          </w:p>
        </w:tc>
        <w:tc>
          <w:tcPr>
            <w:tcW w:w="1020" w:type="dxa"/>
            <w:noWrap w:val="0"/>
            <w:vAlign w:val="top"/>
          </w:tcPr>
          <w:p w14:paraId="6652D2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1</w:t>
            </w:r>
          </w:p>
        </w:tc>
        <w:tc>
          <w:tcPr>
            <w:tcW w:w="3158" w:type="dxa"/>
            <w:noWrap w:val="0"/>
            <w:vAlign w:val="top"/>
          </w:tcPr>
          <w:p w14:paraId="3774A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</w:p>
        </w:tc>
      </w:tr>
      <w:tr w14:paraId="229002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  <w:shd w:val="clear" w:color="auto" w:fill="auto"/>
            <w:noWrap w:val="0"/>
            <w:vAlign w:val="top"/>
          </w:tcPr>
          <w:p w14:paraId="181AF7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5</w:t>
            </w:r>
          </w:p>
        </w:tc>
        <w:tc>
          <w:tcPr>
            <w:tcW w:w="2409" w:type="dxa"/>
            <w:noWrap w:val="0"/>
            <w:vAlign w:val="top"/>
          </w:tcPr>
          <w:p w14:paraId="661BC3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Cs w:val="28"/>
                <w:lang w:val="en-US" w:eastAsia="zh-CN"/>
              </w:rPr>
              <w:t>电缆</w:t>
            </w:r>
          </w:p>
        </w:tc>
        <w:tc>
          <w:tcPr>
            <w:tcW w:w="936" w:type="dxa"/>
            <w:noWrap w:val="0"/>
            <w:vAlign w:val="top"/>
          </w:tcPr>
          <w:p w14:paraId="034E4B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批</w:t>
            </w:r>
          </w:p>
        </w:tc>
        <w:tc>
          <w:tcPr>
            <w:tcW w:w="1020" w:type="dxa"/>
            <w:noWrap w:val="0"/>
            <w:vAlign w:val="top"/>
          </w:tcPr>
          <w:p w14:paraId="7E79D0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1</w:t>
            </w:r>
          </w:p>
        </w:tc>
        <w:tc>
          <w:tcPr>
            <w:tcW w:w="3158" w:type="dxa"/>
            <w:noWrap w:val="0"/>
            <w:vAlign w:val="top"/>
          </w:tcPr>
          <w:p w14:paraId="6674C9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cs="Times New Roman"/>
                <w:color w:val="auto"/>
                <w:szCs w:val="28"/>
                <w:lang w:val="en-US" w:eastAsia="zh-CN"/>
              </w:rPr>
              <w:t>投标方自行从1#车间配电室取电</w:t>
            </w:r>
          </w:p>
        </w:tc>
      </w:tr>
      <w:tr w14:paraId="346D0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  <w:shd w:val="clear" w:color="auto" w:fill="auto"/>
            <w:noWrap w:val="0"/>
            <w:vAlign w:val="top"/>
          </w:tcPr>
          <w:p w14:paraId="764DE2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6</w:t>
            </w:r>
          </w:p>
        </w:tc>
        <w:tc>
          <w:tcPr>
            <w:tcW w:w="2409" w:type="dxa"/>
            <w:noWrap w:val="0"/>
            <w:vAlign w:val="top"/>
          </w:tcPr>
          <w:p w14:paraId="4FF60D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Cs w:val="28"/>
                <w:lang w:val="en-US" w:eastAsia="zh-CN"/>
              </w:rPr>
              <w:t>桥架</w:t>
            </w:r>
          </w:p>
        </w:tc>
        <w:tc>
          <w:tcPr>
            <w:tcW w:w="936" w:type="dxa"/>
            <w:noWrap w:val="0"/>
            <w:vAlign w:val="top"/>
          </w:tcPr>
          <w:p w14:paraId="4C9C7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批</w:t>
            </w:r>
          </w:p>
        </w:tc>
        <w:tc>
          <w:tcPr>
            <w:tcW w:w="1020" w:type="dxa"/>
            <w:noWrap w:val="0"/>
            <w:vAlign w:val="top"/>
          </w:tcPr>
          <w:p w14:paraId="494D6B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1</w:t>
            </w:r>
          </w:p>
        </w:tc>
        <w:tc>
          <w:tcPr>
            <w:tcW w:w="3158" w:type="dxa"/>
            <w:noWrap w:val="0"/>
            <w:vAlign w:val="top"/>
          </w:tcPr>
          <w:p w14:paraId="042770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cs="Times New Roman"/>
                <w:color w:val="auto"/>
                <w:szCs w:val="28"/>
                <w:lang w:val="en-US" w:eastAsia="zh-CN"/>
              </w:rPr>
              <w:t>304</w:t>
            </w: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不锈钢</w:t>
            </w:r>
          </w:p>
        </w:tc>
      </w:tr>
      <w:tr w14:paraId="018D9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  <w:shd w:val="clear" w:color="auto" w:fill="auto"/>
            <w:noWrap w:val="0"/>
            <w:vAlign w:val="top"/>
          </w:tcPr>
          <w:p w14:paraId="450D78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4"/>
                <w:lang w:val="en-US" w:eastAsia="zh-CN" w:bidi="ar-SA"/>
              </w:rPr>
              <w:t>7</w:t>
            </w:r>
          </w:p>
        </w:tc>
        <w:tc>
          <w:tcPr>
            <w:tcW w:w="2409" w:type="dxa"/>
            <w:noWrap w:val="0"/>
            <w:vAlign w:val="top"/>
          </w:tcPr>
          <w:p w14:paraId="2F7E40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cs="Times New Roman"/>
                <w:color w:val="auto"/>
                <w:szCs w:val="28"/>
                <w:lang w:val="en-US" w:eastAsia="zh-CN"/>
              </w:rPr>
              <w:t>万向轮</w:t>
            </w:r>
          </w:p>
        </w:tc>
        <w:tc>
          <w:tcPr>
            <w:tcW w:w="936" w:type="dxa"/>
            <w:noWrap w:val="0"/>
            <w:vAlign w:val="top"/>
          </w:tcPr>
          <w:p w14:paraId="5D5E2B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批</w:t>
            </w:r>
          </w:p>
        </w:tc>
        <w:tc>
          <w:tcPr>
            <w:tcW w:w="1020" w:type="dxa"/>
            <w:noWrap w:val="0"/>
            <w:vAlign w:val="top"/>
          </w:tcPr>
          <w:p w14:paraId="4B8B1C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1</w:t>
            </w:r>
          </w:p>
        </w:tc>
        <w:tc>
          <w:tcPr>
            <w:tcW w:w="3158" w:type="dxa"/>
            <w:noWrap w:val="0"/>
            <w:vAlign w:val="top"/>
          </w:tcPr>
          <w:p w14:paraId="4866A4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</w:p>
        </w:tc>
      </w:tr>
      <w:tr w14:paraId="4A54D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9" w:type="dxa"/>
            <w:noWrap w:val="0"/>
            <w:vAlign w:val="top"/>
          </w:tcPr>
          <w:p w14:paraId="166A71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8</w:t>
            </w:r>
          </w:p>
        </w:tc>
        <w:tc>
          <w:tcPr>
            <w:tcW w:w="2409" w:type="dxa"/>
            <w:noWrap w:val="0"/>
            <w:vAlign w:val="top"/>
          </w:tcPr>
          <w:p w14:paraId="7A3523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Cs w:val="28"/>
                <w:lang w:val="en-US" w:eastAsia="zh-CN"/>
              </w:rPr>
              <w:t>安装辅材（如管件、法兰、螺栓、垫片、电缆头等）</w:t>
            </w:r>
          </w:p>
        </w:tc>
        <w:tc>
          <w:tcPr>
            <w:tcW w:w="936" w:type="dxa"/>
            <w:noWrap w:val="0"/>
            <w:vAlign w:val="top"/>
          </w:tcPr>
          <w:p w14:paraId="235AB9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批</w:t>
            </w:r>
          </w:p>
        </w:tc>
        <w:tc>
          <w:tcPr>
            <w:tcW w:w="1020" w:type="dxa"/>
            <w:noWrap w:val="0"/>
            <w:vAlign w:val="top"/>
          </w:tcPr>
          <w:p w14:paraId="38B001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  <w:t>1</w:t>
            </w:r>
          </w:p>
        </w:tc>
        <w:tc>
          <w:tcPr>
            <w:tcW w:w="3158" w:type="dxa"/>
            <w:noWrap w:val="0"/>
            <w:vAlign w:val="top"/>
          </w:tcPr>
          <w:p w14:paraId="4F8212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auto"/>
                <w:szCs w:val="28"/>
                <w:lang w:val="en-US" w:eastAsia="zh-CN"/>
              </w:rPr>
            </w:pPr>
          </w:p>
        </w:tc>
      </w:tr>
    </w:tbl>
    <w:p w14:paraId="65C0B463">
      <w:pPr>
        <w:spacing w:line="360" w:lineRule="auto"/>
        <w:rPr>
          <w:rFonts w:hint="eastAsia" w:ascii="宋体" w:hAnsi="宋体" w:cs="宋体"/>
          <w:b/>
          <w:bCs/>
          <w:caps w:val="0"/>
          <w:smallCaps w:val="0"/>
          <w:color w:val="auto"/>
          <w:sz w:val="24"/>
          <w:szCs w:val="24"/>
          <w:highlight w:val="none"/>
          <w:u w:val="none"/>
          <w:lang w:val="en-US" w:eastAsia="zh-CN"/>
        </w:rPr>
      </w:pPr>
    </w:p>
    <w:p w14:paraId="6CAF6082">
      <w:pPr>
        <w:spacing w:line="360" w:lineRule="auto"/>
        <w:rPr>
          <w:rFonts w:hint="default" w:ascii="宋体" w:hAnsi="宋体" w:cs="宋体"/>
          <w:caps w:val="0"/>
          <w:smallCaps w:val="0"/>
          <w:color w:val="auto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cs="宋体"/>
          <w:b/>
          <w:bCs/>
          <w:caps w:val="0"/>
          <w:smallCaps w:val="0"/>
          <w:color w:val="auto"/>
          <w:sz w:val="24"/>
          <w:szCs w:val="24"/>
          <w:highlight w:val="none"/>
          <w:u w:val="none"/>
          <w:lang w:val="en-US" w:eastAsia="zh-CN"/>
        </w:rPr>
        <w:t>三、技术要求</w:t>
      </w:r>
    </w:p>
    <w:p w14:paraId="37DED4D0">
      <w:pPr>
        <w:numPr>
          <w:ilvl w:val="0"/>
          <w:numId w:val="1"/>
        </w:numPr>
        <w:spacing w:line="360" w:lineRule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输送线与榨菜接触部分采用食品级材料。</w:t>
      </w:r>
    </w:p>
    <w:p w14:paraId="59E9411B">
      <w:pPr>
        <w:numPr>
          <w:ilvl w:val="0"/>
          <w:numId w:val="1"/>
        </w:numPr>
        <w:spacing w:line="360" w:lineRule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A、B、C三段输送线的拉力、宽度、长度、倾斜角度和落料点高度详见图纸。</w:t>
      </w:r>
    </w:p>
    <w:p w14:paraId="3B81FF1F">
      <w:pPr>
        <w:numPr>
          <w:ilvl w:val="0"/>
          <w:numId w:val="1"/>
        </w:numPr>
        <w:spacing w:line="360" w:lineRule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A、B、C三段输送线两边挡板高300mm，挡板采用316L材质，B输送线在A\B输送线</w:t>
      </w:r>
      <w:r>
        <w:rPr>
          <w:rFonts w:hint="eastAsia" w:cs="Times New Roman"/>
          <w:sz w:val="21"/>
          <w:szCs w:val="21"/>
          <w:lang w:val="en-US" w:eastAsia="zh-CN"/>
        </w:rPr>
        <w:t>连接处应减少堆料问题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。</w:t>
      </w:r>
    </w:p>
    <w:p w14:paraId="17212EBD">
      <w:pPr>
        <w:numPr>
          <w:ilvl w:val="0"/>
          <w:numId w:val="1"/>
        </w:numPr>
        <w:spacing w:line="360" w:lineRule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A输送带采用皮带输送，皮带采用PU材质，皮带厚度不低于5mm，其他结构件采用304材质，轴承和轴承座采用不锈钢材质，</w:t>
      </w:r>
      <w:r>
        <w:rPr>
          <w:rFonts w:hint="eastAsia" w:cs="Times New Roman"/>
          <w:sz w:val="21"/>
          <w:szCs w:val="21"/>
          <w:lang w:val="en-US" w:eastAsia="zh-CN"/>
        </w:rPr>
        <w:t>不锈钢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滚筒采用包胶工艺。</w:t>
      </w:r>
    </w:p>
    <w:p w14:paraId="6F205FDE">
      <w:pPr>
        <w:numPr>
          <w:ilvl w:val="0"/>
          <w:numId w:val="1"/>
        </w:numPr>
        <w:spacing w:line="360" w:lineRule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B输送线采用链板输送，链板采用316L材质，链板厚度不低于2mm，其他结构件采用304材质，轴承和轴承座采用不锈钢材质，链条采用316L不锈钢材质。</w:t>
      </w:r>
    </w:p>
    <w:p w14:paraId="1D85B981">
      <w:pPr>
        <w:numPr>
          <w:ilvl w:val="0"/>
          <w:numId w:val="1"/>
        </w:numPr>
        <w:spacing w:line="360" w:lineRule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C输送线采用链板输送，链板和挡板采用316L材质，链板厚度不低于2mm，其他结构件采用304材质，轴承和轴承座采用不锈钢材质，链条采用316L不锈钢材质。</w:t>
      </w:r>
    </w:p>
    <w:p w14:paraId="08EA13DF">
      <w:pPr>
        <w:numPr>
          <w:ilvl w:val="0"/>
          <w:numId w:val="1"/>
        </w:numPr>
        <w:spacing w:line="360" w:lineRule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电机采用380V供电，防护等级采用IP65，电机绝缘等级采用F级，电机能效等级二级，电机和齿轮箱采用不锈钢罩壳防雨处理。</w:t>
      </w:r>
    </w:p>
    <w:p w14:paraId="7392E8B9">
      <w:pPr>
        <w:pStyle w:val="2"/>
        <w:ind w:left="0" w:leftChars="0" w:firstLine="0" w:firstLineChars="0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eastAsia" w:cs="Times New Roman"/>
          <w:sz w:val="21"/>
          <w:szCs w:val="21"/>
          <w:lang w:val="en-US" w:eastAsia="zh-CN"/>
        </w:rPr>
        <w:t>8、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输送线</w:t>
      </w:r>
      <w:r>
        <w:rPr>
          <w:rFonts w:hint="eastAsia" w:cs="Times New Roman"/>
          <w:sz w:val="21"/>
          <w:szCs w:val="21"/>
          <w:lang w:val="en-US" w:eastAsia="zh-CN"/>
        </w:rPr>
        <w:t>设置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张紧和纠偏</w:t>
      </w:r>
      <w:r>
        <w:rPr>
          <w:rFonts w:hint="eastAsia" w:cs="Times New Roman"/>
          <w:sz w:val="21"/>
          <w:szCs w:val="21"/>
          <w:lang w:val="en-US" w:eastAsia="zh-CN"/>
        </w:rPr>
        <w:t>装置，便于调节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。</w:t>
      </w:r>
    </w:p>
    <w:p w14:paraId="35547470">
      <w:pPr>
        <w:pStyle w:val="2"/>
        <w:ind w:left="0" w:leftChars="0" w:firstLine="0" w:firstLineChars="0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eastAsia" w:cs="Times New Roman"/>
          <w:sz w:val="21"/>
          <w:szCs w:val="21"/>
          <w:lang w:val="en-US" w:eastAsia="zh-CN"/>
        </w:rPr>
        <w:t>9、B、C两条链板速度可调。</w:t>
      </w:r>
    </w:p>
    <w:p w14:paraId="162D3221">
      <w:pPr>
        <w:numPr>
          <w:ilvl w:val="0"/>
          <w:numId w:val="0"/>
        </w:numPr>
        <w:spacing w:line="360" w:lineRule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eastAsia" w:cs="Times New Roman"/>
          <w:sz w:val="21"/>
          <w:szCs w:val="21"/>
          <w:lang w:val="en-US" w:eastAsia="zh-CN"/>
        </w:rPr>
        <w:t>10、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输送线采用手动启停，操作箱设置在室内，操作箱采用304不锈钢材质，每段输送线旁设置急停按钮。</w:t>
      </w:r>
    </w:p>
    <w:p w14:paraId="64DCB320">
      <w:pPr>
        <w:numPr>
          <w:ilvl w:val="0"/>
          <w:numId w:val="0"/>
        </w:numPr>
        <w:spacing w:line="360" w:lineRule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eastAsia" w:cs="Times New Roman"/>
          <w:sz w:val="21"/>
          <w:szCs w:val="21"/>
          <w:lang w:val="en-US" w:eastAsia="zh-CN"/>
        </w:rPr>
        <w:t>11、</w:t>
      </w:r>
      <w:r>
        <w:rPr>
          <w:rFonts w:hint="eastAsia" w:ascii="Times New Roman" w:hAnsi="Times New Roman" w:cs="Times New Roman"/>
          <w:sz w:val="21"/>
          <w:szCs w:val="21"/>
          <w:lang w:val="en-US" w:eastAsia="zh-CN"/>
        </w:rPr>
        <w:t>各级输送线应满足可移动及转向的要求，同时移动装置应满足与输送带的载荷</w:t>
      </w:r>
      <w:r>
        <w:rPr>
          <w:rFonts w:hint="eastAsia" w:cs="Times New Roman"/>
          <w:sz w:val="21"/>
          <w:szCs w:val="21"/>
          <w:lang w:val="en-US" w:eastAsia="zh-CN"/>
        </w:rPr>
        <w:t>和</w:t>
      </w:r>
      <w:r>
        <w:rPr>
          <w:rFonts w:hint="eastAsia" w:ascii="Times New Roman" w:hAnsi="Times New Roman" w:cs="Times New Roman"/>
          <w:sz w:val="21"/>
          <w:szCs w:val="21"/>
          <w:lang w:val="en-US" w:eastAsia="zh-CN"/>
        </w:rPr>
        <w:t>使用安全性。</w:t>
      </w:r>
    </w:p>
    <w:p w14:paraId="2AFD4F25">
      <w:pPr>
        <w:numPr>
          <w:ilvl w:val="0"/>
          <w:numId w:val="0"/>
        </w:numPr>
        <w:spacing w:line="360" w:lineRule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eastAsia" w:cs="Times New Roman"/>
          <w:sz w:val="21"/>
          <w:szCs w:val="21"/>
          <w:lang w:val="en-US" w:eastAsia="zh-CN"/>
        </w:rPr>
        <w:t>12、所有线缆沿桥架铺设，每条输送线设分线箱，室内操作箱与各分线箱采用航空插头连接。</w:t>
      </w:r>
    </w:p>
    <w:p w14:paraId="3BA0BF3C">
      <w:pPr>
        <w:pStyle w:val="2"/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 w:cs="Times New Roman"/>
          <w:sz w:val="21"/>
          <w:szCs w:val="21"/>
          <w:lang w:val="en-US" w:eastAsia="zh-CN"/>
        </w:rPr>
        <w:t>13、整个输送系统物料输送顺畅，保证物料不堆积、不掉落。</w:t>
      </w:r>
    </w:p>
    <w:p w14:paraId="7CDB442E">
      <w:pPr>
        <w:pStyle w:val="2"/>
        <w:ind w:left="0" w:leftChars="0" w:firstLine="0" w:firstLineChars="0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eastAsia" w:cs="Times New Roman"/>
          <w:sz w:val="21"/>
          <w:szCs w:val="21"/>
          <w:lang w:val="en-US" w:eastAsia="zh-CN"/>
        </w:rPr>
        <w:t>14、上述未包含但设备运行必需的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其他要求详见图纸。</w:t>
      </w:r>
    </w:p>
    <w:p w14:paraId="09EAB411">
      <w:pPr>
        <w:keepNext w:val="0"/>
        <w:keepLines w:val="0"/>
        <w:pageBreakBefore w:val="0"/>
        <w:numPr>
          <w:ilvl w:val="0"/>
          <w:numId w:val="2"/>
        </w:numPr>
        <w:wordWrap/>
        <w:topLinePunct w:val="0"/>
        <w:bidi w:val="0"/>
        <w:spacing w:line="360" w:lineRule="auto"/>
        <w:outlineLvl w:val="2"/>
        <w:rPr>
          <w:rFonts w:hint="eastAsia" w:ascii="宋体" w:hAnsi="宋体" w:cs="宋体"/>
          <w:b/>
          <w:bCs/>
          <w:caps w:val="0"/>
          <w:smallCaps w:val="0"/>
          <w:color w:val="auto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cs="宋体"/>
          <w:b/>
          <w:bCs/>
          <w:caps w:val="0"/>
          <w:smallCaps w:val="0"/>
          <w:color w:val="auto"/>
          <w:sz w:val="24"/>
          <w:szCs w:val="24"/>
          <w:highlight w:val="none"/>
          <w:u w:val="none"/>
          <w:lang w:val="en-US" w:eastAsia="zh-CN"/>
        </w:rPr>
        <w:t>核心部件品牌要求</w:t>
      </w:r>
    </w:p>
    <w:tbl>
      <w:tblPr>
        <w:tblStyle w:val="8"/>
        <w:tblpPr w:leftFromText="180" w:rightFromText="180" w:vertAnchor="text" w:horzAnchor="page" w:tblpX="1782" w:tblpY="38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4"/>
        <w:gridCol w:w="2136"/>
        <w:gridCol w:w="5322"/>
      </w:tblGrid>
      <w:tr w14:paraId="7EC91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</w:trPr>
        <w:tc>
          <w:tcPr>
            <w:tcW w:w="1064" w:type="dxa"/>
            <w:noWrap w:val="0"/>
            <w:vAlign w:val="top"/>
          </w:tcPr>
          <w:p w14:paraId="291CF97E">
            <w:pPr>
              <w:pageBreakBefore w:val="0"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2136" w:type="dxa"/>
            <w:noWrap w:val="0"/>
            <w:vAlign w:val="top"/>
          </w:tcPr>
          <w:p w14:paraId="00CC951D">
            <w:pPr>
              <w:pageBreakBefore w:val="0"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  <w:vertAlign w:val="baseline"/>
                <w:lang w:val="en-US" w:eastAsia="zh-CN"/>
              </w:rPr>
              <w:t>设备</w:t>
            </w:r>
          </w:p>
        </w:tc>
        <w:tc>
          <w:tcPr>
            <w:tcW w:w="5322" w:type="dxa"/>
            <w:noWrap w:val="0"/>
            <w:vAlign w:val="top"/>
          </w:tcPr>
          <w:p w14:paraId="2D69649F">
            <w:pPr>
              <w:pageBreakBefore w:val="0"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  <w:vertAlign w:val="baseline"/>
                <w:lang w:val="en-US" w:eastAsia="zh-CN"/>
              </w:rPr>
              <w:t>品牌</w:t>
            </w:r>
          </w:p>
        </w:tc>
      </w:tr>
      <w:tr w14:paraId="2301B0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064" w:type="dxa"/>
            <w:noWrap w:val="0"/>
            <w:vAlign w:val="top"/>
          </w:tcPr>
          <w:p w14:paraId="7B2A0DCE">
            <w:pPr>
              <w:pageBreakBefore w:val="0"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2136" w:type="dxa"/>
            <w:noWrap w:val="0"/>
            <w:vAlign w:val="top"/>
          </w:tcPr>
          <w:p w14:paraId="4F2F29DF">
            <w:pPr>
              <w:pageBreakBefore w:val="0"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轴承</w:t>
            </w:r>
          </w:p>
        </w:tc>
        <w:tc>
          <w:tcPr>
            <w:tcW w:w="5322" w:type="dxa"/>
            <w:noWrap w:val="0"/>
            <w:vAlign w:val="top"/>
          </w:tcPr>
          <w:p w14:paraId="607F2BCA">
            <w:pPr>
              <w:numPr>
                <w:ilvl w:val="0"/>
                <w:numId w:val="0"/>
              </w:numPr>
              <w:ind w:firstLine="420" w:firstLineChars="0"/>
              <w:jc w:val="both"/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skf、fag、nsk</w:t>
            </w:r>
          </w:p>
          <w:p w14:paraId="5FA16DC7">
            <w:pPr>
              <w:pageBreakBefore w:val="0"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</w:p>
        </w:tc>
      </w:tr>
      <w:tr w14:paraId="70333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064" w:type="dxa"/>
            <w:noWrap w:val="0"/>
            <w:vAlign w:val="top"/>
          </w:tcPr>
          <w:p w14:paraId="0866F0B1">
            <w:pPr>
              <w:pageBreakBefore w:val="0"/>
              <w:topLinePunct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2136" w:type="dxa"/>
            <w:noWrap w:val="0"/>
            <w:vAlign w:val="top"/>
          </w:tcPr>
          <w:p w14:paraId="1968B527">
            <w:pPr>
              <w:pageBreakBefore w:val="0"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控制箱电气元件和操作按钮</w:t>
            </w:r>
          </w:p>
        </w:tc>
        <w:tc>
          <w:tcPr>
            <w:tcW w:w="5322" w:type="dxa"/>
            <w:noWrap w:val="0"/>
            <w:vAlign w:val="top"/>
          </w:tcPr>
          <w:p w14:paraId="5F1F1149">
            <w:pPr>
              <w:numPr>
                <w:ilvl w:val="0"/>
                <w:numId w:val="0"/>
              </w:numPr>
              <w:ind w:firstLine="420" w:firstLineChars="0"/>
              <w:jc w:val="both"/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西门子、施耐德、OMRON</w:t>
            </w:r>
          </w:p>
          <w:p w14:paraId="2003865A">
            <w:pPr>
              <w:pageBreakBefore w:val="0"/>
              <w:topLinePunct w:val="0"/>
              <w:bidi w:val="0"/>
              <w:spacing w:line="360" w:lineRule="auto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</w:p>
        </w:tc>
      </w:tr>
      <w:tr w14:paraId="295BA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064" w:type="dxa"/>
            <w:noWrap w:val="0"/>
            <w:vAlign w:val="top"/>
          </w:tcPr>
          <w:p w14:paraId="151BFFF7">
            <w:pPr>
              <w:pageBreakBefore w:val="0"/>
              <w:topLinePunct w:val="0"/>
              <w:bidi w:val="0"/>
              <w:spacing w:line="360" w:lineRule="auto"/>
              <w:jc w:val="center"/>
              <w:rPr>
                <w:rFonts w:hint="default" w:ascii="宋体" w:hAnsi="宋体" w:cs="宋体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2136" w:type="dxa"/>
            <w:noWrap w:val="0"/>
            <w:vAlign w:val="top"/>
          </w:tcPr>
          <w:p w14:paraId="349E7CDE">
            <w:pPr>
              <w:pageBreakBefore w:val="0"/>
              <w:topLinePunct w:val="0"/>
              <w:bidi w:val="0"/>
              <w:spacing w:line="360" w:lineRule="auto"/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sz w:val="21"/>
                <w:szCs w:val="21"/>
                <w:lang w:val="en-US" w:eastAsia="zh-CN"/>
              </w:rPr>
              <w:t>电机、减速器</w:t>
            </w:r>
          </w:p>
        </w:tc>
        <w:tc>
          <w:tcPr>
            <w:tcW w:w="5322" w:type="dxa"/>
            <w:noWrap w:val="0"/>
            <w:vAlign w:val="top"/>
          </w:tcPr>
          <w:p w14:paraId="50078A02">
            <w:pPr>
              <w:numPr>
                <w:ilvl w:val="0"/>
                <w:numId w:val="0"/>
              </w:numPr>
              <w:ind w:firstLine="420" w:firstLineChars="0"/>
              <w:jc w:val="both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1"/>
                <w:szCs w:val="21"/>
                <w:lang w:val="en-US" w:eastAsia="zh-CN"/>
              </w:rPr>
              <w:t>Sew、三菱、</w:t>
            </w:r>
            <w:r>
              <w:rPr>
                <w:rFonts w:hint="eastAsia" w:cs="Times New Roman"/>
                <w:sz w:val="21"/>
                <w:szCs w:val="21"/>
                <w:lang w:val="en-US" w:eastAsia="zh-CN"/>
              </w:rPr>
              <w:t>诺德</w:t>
            </w:r>
          </w:p>
        </w:tc>
      </w:tr>
    </w:tbl>
    <w:p w14:paraId="66249A5F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bidi w:val="0"/>
        <w:spacing w:line="360" w:lineRule="auto"/>
        <w:outlineLvl w:val="2"/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aps w:val="0"/>
          <w:smallCaps w:val="0"/>
          <w:color w:val="auto"/>
          <w:sz w:val="24"/>
          <w:szCs w:val="24"/>
          <w:highlight w:val="none"/>
          <w:u w:val="none"/>
          <w:lang w:val="en-US" w:eastAsia="zh-CN"/>
        </w:rPr>
        <w:t>五、其他要求</w:t>
      </w:r>
    </w:p>
    <w:p w14:paraId="04F3EFC8">
      <w:pPr>
        <w:keepNext w:val="0"/>
        <w:keepLines w:val="0"/>
        <w:pageBreakBefore w:val="0"/>
        <w:wordWrap/>
        <w:topLinePunct w:val="0"/>
        <w:bidi w:val="0"/>
        <w:spacing w:line="360" w:lineRule="auto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</w:pPr>
      <w:r>
        <w:rPr>
          <w:rFonts w:hint="eastAsia" w:ascii="宋体" w:hAnsi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1、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  <w:t>本系统严格按照国家有关安全等方面的标准执行。</w:t>
      </w:r>
    </w:p>
    <w:p w14:paraId="18BBD0CE">
      <w:pPr>
        <w:keepNext w:val="0"/>
        <w:keepLines w:val="0"/>
        <w:pageBreakBefore w:val="0"/>
        <w:wordWrap/>
        <w:topLinePunct w:val="0"/>
        <w:bidi w:val="0"/>
        <w:spacing w:line="360" w:lineRule="auto"/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  <w:lang w:val="en-US" w:eastAsia="zh-CN"/>
        </w:rPr>
        <w:t>2、</w:t>
      </w:r>
      <w:r>
        <w:rPr>
          <w:rFonts w:hint="eastAsia" w:ascii="宋体" w:hAnsi="宋体" w:eastAsia="宋体" w:cs="宋体"/>
          <w:caps w:val="0"/>
          <w:smallCaps w:val="0"/>
          <w:color w:val="auto"/>
          <w:sz w:val="21"/>
          <w:szCs w:val="21"/>
          <w:highlight w:val="none"/>
        </w:rPr>
        <w:t>满足使用要求，运行可靠，柔性化程度高，易于维护。</w:t>
      </w:r>
    </w:p>
    <w:p w14:paraId="089191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/>
          <w:u w:val="none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081FF45"/>
    <w:multiLevelType w:val="singleLevel"/>
    <w:tmpl w:val="8081FF45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3EDC7AA2"/>
    <w:multiLevelType w:val="singleLevel"/>
    <w:tmpl w:val="3EDC7AA2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735D5F"/>
    <w:rsid w:val="05735D5F"/>
    <w:rsid w:val="0F19203C"/>
    <w:rsid w:val="2869373F"/>
    <w:rsid w:val="3CD01845"/>
    <w:rsid w:val="5ECA21DC"/>
    <w:rsid w:val="6EB8023A"/>
    <w:rsid w:val="6EF967A0"/>
    <w:rsid w:val="726C5281"/>
    <w:rsid w:val="744C1FCC"/>
    <w:rsid w:val="765972B7"/>
    <w:rsid w:val="7C334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/>
      <w:ind w:left="420" w:leftChars="200" w:firstLine="420"/>
    </w:pPr>
    <w:rPr>
      <w:szCs w:val="20"/>
    </w:rPr>
  </w:style>
  <w:style w:type="paragraph" w:styleId="3">
    <w:name w:val="Body Text Indent"/>
    <w:basedOn w:val="1"/>
    <w:qFormat/>
    <w:uiPriority w:val="0"/>
    <w:pPr>
      <w:ind w:firstLine="407" w:firstLineChars="200"/>
    </w:pPr>
  </w:style>
  <w:style w:type="paragraph" w:styleId="6">
    <w:name w:val="Body Text"/>
    <w:basedOn w:val="1"/>
    <w:next w:val="1"/>
    <w:qFormat/>
    <w:uiPriority w:val="0"/>
    <w:pPr>
      <w:spacing w:after="120"/>
    </w:pPr>
  </w:style>
  <w:style w:type="table" w:styleId="8">
    <w:name w:val="Table Grid"/>
    <w:basedOn w:val="7"/>
    <w:qFormat/>
    <w:uiPriority w:val="59"/>
    <w:rPr>
      <w:rFonts w:ascii="Calibri" w:hAnsi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2308</Words>
  <Characters>2779</Characters>
  <Lines>0</Lines>
  <Paragraphs>0</Paragraphs>
  <TotalTime>6</TotalTime>
  <ScaleCrop>false</ScaleCrop>
  <LinksUpToDate>false</LinksUpToDate>
  <CharactersWithSpaces>3269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2025-12-04T02:08:00Z</dcterms:created>
  <dc:creator>Yzxx</dc:creator>
  <cp:lastModifiedBy>麦冬</cp:lastModifiedBy>
  <dcterms:modified xsi:type="dcterms:W3CDTF">2025-12-04T10:13:25Z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3870D14FA6504ED7916074038E3B69C1_13</vt:lpwstr>
  </property>
  <property fmtid="{D5CDD505-2E9C-101B-9397-08002B2CF9AE}" pid="4" name="KSOTemplateDocerSaveRecord">
    <vt:lpwstr>eyJoZGlkIjoiNjFjZjU3OWQyZDNkNTE1ODI3NTE1MDI2MTY2ZDgyZjUiLCJ1c2VySWQiOiI1NDQ5ODEwNzIifQ==</vt:lpwstr>
  </property>
</Properties>
</file>